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AB0FFD">
        <w:rPr>
          <w:b/>
          <w:sz w:val="28"/>
          <w:szCs w:val="28"/>
        </w:rPr>
        <w:t>1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B0FFD">
        <w:rPr>
          <w:b/>
          <w:sz w:val="28"/>
          <w:szCs w:val="28"/>
        </w:rPr>
        <w:t>16.01.2024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</w:p>
    <w:p w:rsidR="00DB7D77" w:rsidRDefault="00DB7D77" w:rsidP="00DB7D77">
      <w:pPr>
        <w:rPr>
          <w:sz w:val="28"/>
          <w:szCs w:val="28"/>
        </w:rPr>
      </w:pPr>
    </w:p>
    <w:p w:rsidR="00AB0FFD" w:rsidRDefault="00AB0FFD" w:rsidP="00AB0FFD">
      <w:pPr>
        <w:shd w:val="clear" w:color="auto" w:fill="FFFFFF"/>
        <w:ind w:firstLine="567"/>
        <w:jc w:val="center"/>
        <w:outlineLvl w:val="1"/>
        <w:rPr>
          <w:color w:val="000000"/>
        </w:rPr>
      </w:pPr>
      <w:r>
        <w:rPr>
          <w:b/>
          <w:bCs/>
          <w:color w:val="000000"/>
          <w:sz w:val="26"/>
          <w:szCs w:val="26"/>
        </w:rPr>
        <w:t>ПРАВИЛА ПОЛЬЗОВАНИЯ ОГНЕТУШИТЕЛЕМ</w:t>
      </w:r>
    </w:p>
    <w:p w:rsidR="00AB0FFD" w:rsidRDefault="00AB0FFD" w:rsidP="00AB0FFD">
      <w:pPr>
        <w:shd w:val="clear" w:color="auto" w:fill="FFFFFF"/>
        <w:ind w:firstLine="567"/>
        <w:jc w:val="center"/>
        <w:outlineLvl w:val="1"/>
        <w:rPr>
          <w:shd w:val="clear" w:color="auto" w:fill="FFFFFF"/>
        </w:rPr>
      </w:pP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Согласно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"СП 9.13130.2009. Свод правил. Техника пожарная. Огнетушители. Требования к эксплуатации" </w:t>
      </w:r>
      <w:r>
        <w:rPr>
          <w:color w:val="000000"/>
          <w:sz w:val="24"/>
          <w:szCs w:val="24"/>
          <w:shd w:val="clear" w:color="auto" w:fill="FFFFFF"/>
        </w:rPr>
        <w:t xml:space="preserve">(утв. Приказом МЧС РФ от 25.03.2009 №179), </w:t>
      </w:r>
      <w:r>
        <w:rPr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u w:val="single"/>
          <w:shd w:val="clear" w:color="auto" w:fill="FFFFFF"/>
        </w:rPr>
        <w:t>о</w:t>
      </w:r>
      <w:r>
        <w:rPr>
          <w:rFonts w:cs="Arial"/>
          <w:color w:val="000000"/>
          <w:sz w:val="24"/>
          <w:szCs w:val="24"/>
          <w:u w:val="single"/>
        </w:rPr>
        <w:t>гнетушитель</w:t>
      </w:r>
      <w:r>
        <w:rPr>
          <w:rFonts w:cs="Arial"/>
          <w:color w:val="000000"/>
          <w:sz w:val="24"/>
          <w:szCs w:val="24"/>
        </w:rPr>
        <w:t>»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– это п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>
        <w:rPr>
          <w:rFonts w:cs="Arial"/>
          <w:color w:val="000000"/>
          <w:sz w:val="24"/>
          <w:szCs w:val="24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Каждый человек, независимо от возраста должен </w:t>
      </w:r>
      <w:proofErr w:type="gramStart"/>
      <w:r>
        <w:rPr>
          <w:rFonts w:cs="Arial"/>
          <w:color w:val="000000"/>
          <w:sz w:val="24"/>
          <w:szCs w:val="24"/>
        </w:rPr>
        <w:t>знать</w:t>
      </w:r>
      <w:proofErr w:type="gramEnd"/>
      <w:r>
        <w:rPr>
          <w:rFonts w:cs="Arial"/>
          <w:color w:val="000000"/>
          <w:sz w:val="24"/>
          <w:szCs w:val="24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Все огнетушители следует различать по виду </w:t>
      </w:r>
      <w:proofErr w:type="spellStart"/>
      <w:r>
        <w:rPr>
          <w:rFonts w:cs="Arial"/>
          <w:color w:val="000000"/>
          <w:sz w:val="24"/>
          <w:szCs w:val="24"/>
        </w:rPr>
        <w:t>огнетущащего</w:t>
      </w:r>
      <w:proofErr w:type="spellEnd"/>
      <w:r>
        <w:rPr>
          <w:rFonts w:cs="Arial"/>
          <w:color w:val="000000"/>
          <w:sz w:val="24"/>
          <w:szCs w:val="24"/>
        </w:rPr>
        <w:t xml:space="preserve"> вещества: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пенные (воздушно-пенные, химическо-пенные);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порошковые;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- газовые (углекислотные, </w:t>
      </w:r>
      <w:proofErr w:type="spellStart"/>
      <w:r>
        <w:rPr>
          <w:rFonts w:cs="Arial"/>
          <w:color w:val="000000"/>
          <w:sz w:val="24"/>
          <w:szCs w:val="24"/>
        </w:rPr>
        <w:t>хладоновые</w:t>
      </w:r>
      <w:proofErr w:type="spellEnd"/>
      <w:r>
        <w:rPr>
          <w:rFonts w:cs="Arial"/>
          <w:color w:val="000000"/>
          <w:sz w:val="24"/>
          <w:szCs w:val="24"/>
        </w:rPr>
        <w:t>);</w:t>
      </w:r>
    </w:p>
    <w:p w:rsidR="00AB0FFD" w:rsidRDefault="00AB0FFD" w:rsidP="00AB0FFD">
      <w:pPr>
        <w:shd w:val="clear" w:color="auto" w:fill="FFFFFF"/>
        <w:ind w:firstLine="624"/>
        <w:jc w:val="both"/>
        <w:outlineLvl w:val="1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- комбинированные.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Наиболее широко используются 2 основных типа огнетушителей - порошковые и углекислотные. У каждого из них есть свои преимущества и недостатки.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Порошковый огнетушитель</w:t>
      </w:r>
      <w:r>
        <w:rPr>
          <w:color w:val="000000"/>
          <w:sz w:val="24"/>
          <w:szCs w:val="24"/>
          <w:shd w:val="clear" w:color="auto" w:fill="FFFFFF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устройств другого типа. Необходимо также обозначить и минусы ОП: очень загрязняют поверхность; налипший порошок трудно отмыть.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</w:t>
      </w:r>
      <w:r>
        <w:rPr>
          <w:color w:val="000000"/>
          <w:sz w:val="24"/>
          <w:szCs w:val="24"/>
          <w:u w:val="single"/>
          <w:shd w:val="clear" w:color="auto" w:fill="FFFFFF"/>
        </w:rPr>
        <w:t>углекислотном огнетушителе</w:t>
      </w:r>
      <w:r>
        <w:rPr>
          <w:color w:val="000000"/>
          <w:sz w:val="24"/>
          <w:szCs w:val="24"/>
          <w:shd w:val="clear" w:color="auto" w:fill="FFFFFF"/>
        </w:rPr>
        <w:t xml:space="preserve"> (ОУ) активным веществом выступает диоксид углерода (СО2).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соответствие с Правилами противопожарного режима в РФ (утв. Постановлением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Правительства РФ №1479 от 16.09.2020г) </w:t>
      </w:r>
      <w:r>
        <w:rPr>
          <w:rFonts w:cs="Arial"/>
          <w:color w:val="000000"/>
          <w:sz w:val="24"/>
          <w:szCs w:val="24"/>
          <w:shd w:val="clear" w:color="auto" w:fill="FFFFFF"/>
        </w:rPr>
        <w:t>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</w:t>
      </w:r>
      <w:r>
        <w:rPr>
          <w:color w:val="000000"/>
          <w:sz w:val="24"/>
          <w:szCs w:val="24"/>
          <w:shd w:val="clear" w:color="auto" w:fill="FFFFFF"/>
        </w:rPr>
        <w:t xml:space="preserve"> при использовании </w:t>
      </w:r>
      <w:r>
        <w:rPr>
          <w:rFonts w:cs="Arial"/>
          <w:color w:val="000000"/>
          <w:sz w:val="24"/>
          <w:szCs w:val="24"/>
          <w:shd w:val="clear" w:color="auto" w:fill="FFFFFF"/>
        </w:rPr>
        <w:t>необходимо</w:t>
      </w:r>
      <w:r>
        <w:rPr>
          <w:rFonts w:cs="Arial"/>
          <w:color w:val="000000"/>
          <w:sz w:val="24"/>
          <w:szCs w:val="24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В случае обнаружения возгорания</w:t>
      </w:r>
      <w:r>
        <w:rPr>
          <w:rFonts w:cs="Arial"/>
          <w:color w:val="000000"/>
          <w:sz w:val="24"/>
          <w:szCs w:val="24"/>
        </w:rPr>
        <w:t xml:space="preserve">: </w:t>
      </w:r>
    </w:p>
    <w:p w:rsidR="00AB0FFD" w:rsidRDefault="00AB0FFD" w:rsidP="00AB0FFD">
      <w:pPr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сорвать пломбу на огнетушителе, имеющуюся на запорно-пусковом устройстве;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выдернуть чеку;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направить раструб на очаг возгорания;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нажать курок (рычаг) на огнетушителе;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- подождать 3–5 с для приведения огнетушителя в готовность;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- при выходе огнетушащего вещества тушить возгорание </w:t>
      </w:r>
      <w:proofErr w:type="gramStart"/>
      <w:r>
        <w:rPr>
          <w:rFonts w:cs="Tahoma"/>
          <w:color w:val="000000"/>
          <w:sz w:val="24"/>
          <w:szCs w:val="24"/>
        </w:rPr>
        <w:t>( помните</w:t>
      </w:r>
      <w:proofErr w:type="gramEnd"/>
      <w:r>
        <w:rPr>
          <w:rFonts w:cs="Tahoma"/>
          <w:color w:val="000000"/>
          <w:sz w:val="24"/>
          <w:szCs w:val="24"/>
        </w:rPr>
        <w:t>, п</w:t>
      </w:r>
      <w:r>
        <w:rPr>
          <w:color w:val="000000"/>
          <w:sz w:val="24"/>
          <w:szCs w:val="24"/>
          <w:shd w:val="clear" w:color="auto" w:fill="FFFFFF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заряда. </w:t>
      </w:r>
      <w:r>
        <w:rPr>
          <w:rFonts w:cs="Tahoma"/>
          <w:color w:val="000000"/>
          <w:sz w:val="24"/>
          <w:szCs w:val="24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Запрещено: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– эксплуатировать огнетушители с наличием вмятин, вздутостей или трещин на корпусе, запорно-пусковом устройстве, накидной гайке, а также в случае нарушения герметичности соединения узлов огнетушителя и неисправности индикатора давления;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– наносить удары по огнетушителю;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– разбирать и перезаряжать огнетушители лицам, не имеющих право на проведение таких работ;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– использовать огнетушители </w:t>
      </w:r>
      <w:proofErr w:type="gramStart"/>
      <w:r>
        <w:rPr>
          <w:rFonts w:cs="Arial"/>
          <w:color w:val="000000"/>
          <w:sz w:val="24"/>
          <w:szCs w:val="24"/>
        </w:rPr>
        <w:t>для нужд</w:t>
      </w:r>
      <w:proofErr w:type="gramEnd"/>
      <w:r>
        <w:rPr>
          <w:rFonts w:cs="Arial"/>
          <w:color w:val="000000"/>
          <w:sz w:val="24"/>
          <w:szCs w:val="24"/>
        </w:rPr>
        <w:t xml:space="preserve"> не связанных с тушением пожара (очага возгорания).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</w:p>
    <w:p w:rsidR="00AB0FFD" w:rsidRDefault="00AB0FFD" w:rsidP="00AB0FFD">
      <w:pP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AB0FFD" w:rsidRDefault="00AB0FFD" w:rsidP="00AB0FFD">
      <w:pPr>
        <w:pStyle w:val="aa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p w:rsidR="00AB0FFD" w:rsidRDefault="00AB0FFD" w:rsidP="00AB0FFD">
      <w:pPr>
        <w:pStyle w:val="aa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p w:rsidR="00DB7D77" w:rsidRDefault="00DB7D77" w:rsidP="00DB7D77">
      <w:pPr>
        <w:rPr>
          <w:sz w:val="28"/>
          <w:szCs w:val="28"/>
        </w:rPr>
      </w:pPr>
      <w:bookmarkStart w:id="0" w:name="_GoBack"/>
      <w:bookmarkEnd w:id="0"/>
    </w:p>
    <w:p w:rsidR="00DB7D77" w:rsidRDefault="00DB7D77" w:rsidP="00DB7D77">
      <w:pPr>
        <w:rPr>
          <w:sz w:val="28"/>
          <w:szCs w:val="28"/>
        </w:rPr>
      </w:pPr>
    </w:p>
    <w:p w:rsidR="00DB7D77" w:rsidRDefault="00DB7D77" w:rsidP="00DB7D77">
      <w:pPr>
        <w:rPr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A7" w:rsidRDefault="009878A7">
      <w:r>
        <w:separator/>
      </w:r>
    </w:p>
  </w:endnote>
  <w:endnote w:type="continuationSeparator" w:id="0">
    <w:p w:rsidR="009878A7" w:rsidRDefault="009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FFD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A7" w:rsidRDefault="009878A7">
      <w:r>
        <w:separator/>
      </w:r>
    </w:p>
  </w:footnote>
  <w:footnote w:type="continuationSeparator" w:id="0">
    <w:p w:rsidR="009878A7" w:rsidRDefault="0098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2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71808"/>
    <w:rsid w:val="00872E71"/>
    <w:rsid w:val="00883EA6"/>
    <w:rsid w:val="0088469C"/>
    <w:rsid w:val="0089587B"/>
    <w:rsid w:val="008B0D5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500F4"/>
    <w:rsid w:val="00B519C7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B7D7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6335-3254-43B5-8F83-BAF87F70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2023-02-20T03:06:00Z</dcterms:created>
  <dcterms:modified xsi:type="dcterms:W3CDTF">2024-01-16T04:10:00Z</dcterms:modified>
</cp:coreProperties>
</file>